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2022年现代职业教育质量提升计划-运动场维修及信息化建设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塔城地区中等技术专业学校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塔城地区中等技术专业学校</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何清飞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中等职业技术学校正式成立于2004年，2019年在新校区筹建塔城职业技术学院，现位于塔城市和睦大道以南、千泉路以东。占地面积218.6亩。塔城地区中等职业技术学校是一所以中高职贯通培养技术教育为核心、技能培训为支撑、成人函授教育为补充，以培养符合塔城地区社会经济发展需要的技能型人才为目标的职业技术学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我校新校区于2014年开始动工建设，</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一期校园基础建设已基本完成，教学楼、实训楼、食宿用房均已投入使用，目前畜牧专业实训设备较少，且老旧化严重，远远无法满足畜牧兽医实训基地无法发挥其应有的作用。校园新建二期校舍，目前无任何信息化设施设备的配备，智能化校园建设推进缓慢，数字化校园安全管理体系还不健全，信息技术与教育教学深度融合工作受基础条件制约无法开展，在很大程度上抑制了学校各项目工作能力进一步提升。为建设智能化校园，统筹建设一体化智能化教学、管理与服务平台，我校计划进行对学院二期进行智能校园建设，目前新校区只有一座室外运动场地、篮球场地，配置一座主席台，为保证学校大型活动顺利进行，满足学校未来在校学生规模3060人体育运动需求，需新建看台、小型运动场地（体育器材运动场地）、羽毛球场、篮球场等。2022年现代职业教育质量提升计划资金计划用于以上校园硬件设施建设，保障校园基础设施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根据二期建设情况，为新建校舍内配备各类信息化系统，推进智能校园建设，主要为学生宿舍、综合教学楼、实训楼等二期工程进行监控系统、监控配电系统、网络、语音系统、广播系统等信息化系统建设；采购畜牧兽医专业实训设备，满足学生学习需求，采购VR智慧实训室、兽医影像实训室、药理生理实验室、微生物实验室、饲养室、无菌实验室、病理实验室、解剖实验室设备；运动场建设主要为补充完善运动场草坪及塑胶跑道，新建小型场地、羽毛球场、篮球场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资金投入情况：该项目年初预算数0万元，全年预算数500万元，实际总投入338.31万元，该项目资金已全部落实到位,资金来源为财政拨款资金。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0万元，全年预算数500万元，全年执行数338.31万元，预算执行率为77.66%，用于学院二期信息化建设，采购并完成监控设备的安装验收，采购畜牧兽医实训设备，包括显微镜、各类动物模型、内脏系统模型、各类切片、操作仪器、消毒仪器等，进一步满足了学生的学习需求，推进了智能校园建设。</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中等职业技术学校是一所以中高职贯通培养技术教育为核心、技能培训为支撑、成人函授教育为补充，以培养符合塔城地区社会经济发展需要的技能型人才为目标的职业技术学校，根据最新招生情况，校园基础建设亟需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二期校舍进行信息化建设，包括监控设备、教学信息设备及系统，统筹建设一体化智能化教学、管理与服务平台建设智能化校园；目前畜牧专业实训设备较少，且老旧化严重，采购需要实训设备，建设各类实验室，满足学生学习需求；贯彻落实“体育强国”战略，建设型运动场地（体育器材运动场地）、羽毛球场、篮球场等，为学生室外活动提供条件，从而增强在校学生身体素养，培养学生养成健康生活方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上半年，对项目答辩论证立项及项目可研、节能、环评等审批工作，完成建设型运动场地（体育器材运动场地）、羽毛球场、篮球场等项目施工图设计及审查工作；并对信息化工程、畜牧设备采购、运动场建设进行工程招标，并支付30%相关预付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下半年，根据招标情况，签订项目合同，主要进行各类畜牧实训设备采购，包括各类显微镜、动物模型、内脏系统模型、切片、操作仪器、消毒仪器等，进行设备采购运输，并完成安装与验收，完善VR智慧实训室、兽医影像实训室、药理生理实验室、微生物实验室、饲养室、无菌实验室、病理实验室、解剖实验室设施；进行各类监控设备、教学信息设备及系统，完成设备安装，建设一体化智能化教学、管理与服务平台建设智能化校园；进行建筑工程施工，并进行项目竣工验收，投入使用，并支付67%资金尾款。</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中等职业技术学校是一所以中高职贯通培养技术教育为核心、技能培训为支撑、成人函授教育为补充，以培养符合塔城地区社会经济发展需要的技能型人才为目标的职业技术学校，根据最新招生情况，校园基础建设亟需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二期校舍进行信息化建设，包括监控设备、教学信息设备及系统，统筹建设一体化智能化教学、管理与服务平台建设智能化校园；目前畜牧专业实训设备较少，且老旧化严重，采购需要实训设备，建设各类实验室，满足学生学习需求；贯彻落实“体育强国”战略，建设型运动场地（体育器材运动场地）、羽毛球场、篮球场等，为学生室外活动提供条件，从而增强在校学生身体素养，培养学生养成健康生活方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上半年，对项目答辩论证立项及项目可研、节能、环评等审批工作，完成建设型运动场地（体育器材运动场地）、羽毛球场、篮球场等项目施工图设计及审查工作；并对信息化工程、畜牧设备采购、运动场建设进行工程招标，并支付30%相关预付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下半年，根据招标情况，签订项目合同，主要进行各类畜牧实训设备采购，包括各类显微镜、动物模型、内脏系统模型、切片、操作仪器、消毒仪器等，进行设备采购运输，并完成安装与验收，完善VR智慧实训室、兽医影像实训室、药理生理实验室、微生物实验室、饲养室、无菌实验室、病理实验室、解剖实验室设施；进行各类监控设备、教学信息设备及系统，完成设备安装，建设一体化智能化教学、管理与服务平台建设智能化校园；进行建筑工程施工，并进行项目竣工验收，投入使用，并支付67%资金尾款。</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现代职业教育质量提升计划-运动场维修及信息化建设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结合项目特点，制定符合项目实际的绩效评价指标体系及评分标准，通过数据采集、问卷调查及访谈等形式，对2022年现代职业教育质量提升计划-运动场维修及信息化建设进行客观评价。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实际到位资金500万元，预算资金500万元，资金到位率100%，得3分。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2.预算执行率：年初预算数0万元，全年预算数500万元，全年执行数338.31万元，预算执行率为77.66%，此项指标扣2.2分，得7.8分。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该指标分值20分，依据评分标准，此项指标扣2.2分，得17.8分。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数量指标：指标1：运动场改造建筑面积，指标值：&gt;=4324平方米，实际完成值0平方米，指标完成率0%，偏差原因：疫情原因未对运动场进行维修，指标2：信息化覆盖建筑数量，指标值：&gt;=5栋，实际完成值5栋</w:t>
      </w:r>
      <w:r>
        <w:rPr>
          <w:rStyle w:val="18"/>
          <w:rFonts w:hint="eastAsia" w:ascii="楷体" w:hAnsi="楷体" w:eastAsia="楷体"/>
          <w:b w:val="0"/>
          <w:bCs w:val="0"/>
          <w:spacing w:val="-4"/>
          <w:sz w:val="32"/>
          <w:szCs w:val="32"/>
        </w:rPr>
        <w:tab/>
        <w:t>，指标完成率100%；综上，得5分。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质量指标：指标1：信息化设备验收合格率，指标值：=100%，实际完成值100%，指标完成率100%；得10分。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时效指标：指标1：完成建设时间，指标值：2022年12月20日前，实际完成值2022年06月24日，指标完成率100%；得10分。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信息化建设成本，指标值：&lt;=300万元，实际完成值388.31万元，指标完成率71%，偏差原因：未完成原因：增加了部分电子教学设备采购，指标2：完善运动场建设成本，指标值：&lt;=200万元，实际完成值0万元，指标完成率0%，偏差原因：疫情原因未对运动场进行维修,得3.5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该指标分值40分，依据评分标准，此项指标扣11.5分，得28.5分。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社会效益指标：评价指标“改善校园硬件条件”，指标值：有所改善，实际完成值：达成年度指标。采购畜牧专业实习电子设备，进行学院二期信息化建设，对校园硬件条件有所改善。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可持续影响指标：评价指标“监控设备预计使用年限”，指标值：</w:t>
      </w:r>
      <w:r>
        <w:rPr>
          <w:rStyle w:val="18"/>
          <w:rFonts w:hint="eastAsia" w:ascii="楷体" w:hAnsi="楷体" w:eastAsia="楷体"/>
          <w:b w:val="0"/>
          <w:bCs w:val="0"/>
          <w:spacing w:val="-4"/>
          <w:sz w:val="32"/>
          <w:szCs w:val="32"/>
        </w:rPr>
        <w:tab/>
        <w:t>&gt;=5年，实际完成值：5年，达成年度指标。信息化采购各类设备，均验收合格，预计能达到预期使用年限。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该指标分值10分，依据评分标准，此项指标扣2.5分，得7.5分。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服务对象满意度指标：评价指标“学生满意度”，指标值：&gt;=95%%，实际完成值：=100%。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本项目预算执行率为77.66%，指标总体完成率为72.89%，二者之间的偏差值为4.77%。因此，本项目较为良好地完成了年度总体目标，财政资金使用效益和效率良好。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1.存在问题：项目绩效管理缺乏经验，绩效系统性整体性较弱化，有待强化。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2.原因分析：在项目具体执行过程往往只重视预算执行情况，忽视产出和效果，项目实施过程中需提供行之有效的绩效管理办法和评价机制。</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5CD71A69"/>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autoRedefine/>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autoRedefine/>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2024-11-18T10:01:55Z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C734C92AAAF24344A0E4232D8EB3359B</vt:lpwstr>
  </property>
</Properties>
</file>